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3873" w14:textId="3659C5BA" w:rsidR="00150089" w:rsidRDefault="00150089" w:rsidP="009C0233">
      <w:pPr>
        <w:rPr>
          <w:b/>
          <w:bCs/>
        </w:rPr>
      </w:pPr>
    </w:p>
    <w:p w14:paraId="70E2FE80" w14:textId="19A1A978" w:rsidR="00660194" w:rsidRPr="00660194" w:rsidRDefault="00596AD5" w:rsidP="00660194">
      <w:pPr>
        <w:jc w:val="center"/>
        <w:rPr>
          <w:sz w:val="28"/>
          <w:szCs w:val="28"/>
          <w:u w:val="single"/>
        </w:rPr>
      </w:pPr>
      <w:r w:rsidRPr="00596AD5">
        <w:rPr>
          <w:b/>
          <w:bCs/>
          <w:sz w:val="28"/>
          <w:szCs w:val="28"/>
          <w:u w:val="single"/>
        </w:rPr>
        <w:t>TECHNICAL SERVICE RATES AND CHARGES</w:t>
      </w:r>
    </w:p>
    <w:p w14:paraId="308F0346" w14:textId="1164D921" w:rsidR="00660194" w:rsidRPr="001A4FB5" w:rsidRDefault="001A4FB5" w:rsidP="001A4FB5">
      <w:pPr>
        <w:jc w:val="center"/>
        <w:rPr>
          <w:b/>
          <w:bCs/>
          <w:color w:val="000000" w:themeColor="text1"/>
        </w:rPr>
      </w:pPr>
      <w:r w:rsidRPr="001A4FB5">
        <w:rPr>
          <w:b/>
          <w:bCs/>
          <w:color w:val="000000" w:themeColor="text1"/>
        </w:rPr>
        <w:t>Effective January 1, 2026</w:t>
      </w:r>
    </w:p>
    <w:p w14:paraId="727B3B6D" w14:textId="77A65A88" w:rsidR="00660194" w:rsidRDefault="00660194" w:rsidP="00660194">
      <w:r w:rsidRPr="00660194">
        <w:rPr>
          <w:b/>
          <w:bCs/>
        </w:rPr>
        <w:t>On-Site Field Service</w:t>
      </w:r>
      <w:r>
        <w:t xml:space="preserve">: </w:t>
      </w:r>
      <w:r w:rsidRPr="00660194">
        <w:rPr>
          <w:b/>
          <w:bCs/>
        </w:rPr>
        <w:t xml:space="preserve">$185.00 </w:t>
      </w:r>
      <w:r w:rsidRPr="00660194">
        <w:t>per hour</w:t>
      </w:r>
    </w:p>
    <w:p w14:paraId="4DAB6319" w14:textId="07B97885" w:rsidR="003108EB" w:rsidRPr="00660194" w:rsidRDefault="003108EB" w:rsidP="00660194">
      <w:pPr>
        <w:rPr>
          <w:sz w:val="22"/>
          <w:szCs w:val="22"/>
        </w:rPr>
      </w:pPr>
      <w:r w:rsidRPr="003108EB">
        <w:rPr>
          <w:sz w:val="22"/>
          <w:szCs w:val="22"/>
        </w:rPr>
        <w:t>Monday–Friday, 7:30 am to 4:00 pm.</w:t>
      </w:r>
    </w:p>
    <w:p w14:paraId="7CA3B151" w14:textId="71513272" w:rsidR="00660194" w:rsidRPr="00660194" w:rsidRDefault="00660194" w:rsidP="00660194">
      <w:r w:rsidRPr="00660194">
        <w:t>Applies to all repair and calibration labor performed at the customer’s location.</w:t>
      </w:r>
      <w:r w:rsidR="00225EDC">
        <w:t xml:space="preserve"> </w:t>
      </w:r>
    </w:p>
    <w:p w14:paraId="7127BF34" w14:textId="74D9146E" w:rsidR="00660194" w:rsidRPr="00660194" w:rsidRDefault="00660194" w:rsidP="00660194">
      <w:pPr>
        <w:rPr>
          <w:b/>
          <w:bCs/>
        </w:rPr>
      </w:pPr>
      <w:r w:rsidRPr="00660194">
        <w:rPr>
          <w:b/>
          <w:bCs/>
        </w:rPr>
        <w:t>Standard Repair Labor</w:t>
      </w:r>
      <w:r>
        <w:t xml:space="preserve">: </w:t>
      </w:r>
      <w:r w:rsidRPr="00660194">
        <w:rPr>
          <w:b/>
          <w:bCs/>
        </w:rPr>
        <w:t>$1</w:t>
      </w:r>
      <w:r w:rsidR="00980ECB">
        <w:rPr>
          <w:b/>
          <w:bCs/>
        </w:rPr>
        <w:t>5</w:t>
      </w:r>
      <w:r w:rsidRPr="00660194">
        <w:rPr>
          <w:b/>
          <w:bCs/>
        </w:rPr>
        <w:t xml:space="preserve">5.00 </w:t>
      </w:r>
      <w:r w:rsidRPr="00660194">
        <w:t>per hour</w:t>
      </w:r>
    </w:p>
    <w:p w14:paraId="1CDF10A6" w14:textId="77777777" w:rsidR="00660194" w:rsidRPr="00660194" w:rsidRDefault="00660194" w:rsidP="00660194">
      <w:r w:rsidRPr="00660194">
        <w:t>Standard in-house laboratory repair and maintenance services.</w:t>
      </w:r>
    </w:p>
    <w:p w14:paraId="57ECA66D" w14:textId="44855012" w:rsidR="00660194" w:rsidRPr="00660194" w:rsidRDefault="00660194" w:rsidP="00660194">
      <w:r w:rsidRPr="00660194">
        <w:rPr>
          <w:b/>
          <w:bCs/>
        </w:rPr>
        <w:t>Technical Diagnosis</w:t>
      </w:r>
      <w:r>
        <w:t xml:space="preserve">: </w:t>
      </w:r>
      <w:r w:rsidRPr="00660194">
        <w:rPr>
          <w:b/>
          <w:bCs/>
        </w:rPr>
        <w:t>$1</w:t>
      </w:r>
      <w:r w:rsidR="00980ECB">
        <w:rPr>
          <w:b/>
          <w:bCs/>
        </w:rPr>
        <w:t>5</w:t>
      </w:r>
      <w:r w:rsidRPr="00660194">
        <w:rPr>
          <w:b/>
          <w:bCs/>
        </w:rPr>
        <w:t xml:space="preserve">5.00 </w:t>
      </w:r>
      <w:r w:rsidRPr="00660194">
        <w:t>per hour</w:t>
      </w:r>
    </w:p>
    <w:p w14:paraId="2CB9962A" w14:textId="77777777" w:rsidR="00660194" w:rsidRPr="00660194" w:rsidRDefault="00660194" w:rsidP="00660194">
      <w:r w:rsidRPr="00660194">
        <w:t>Applied to specialized technical inspections requiring additional time or complex repairs beyond the initial evaluation.</w:t>
      </w:r>
    </w:p>
    <w:p w14:paraId="526839BB" w14:textId="11F84847" w:rsidR="00660194" w:rsidRPr="00660194" w:rsidRDefault="00660194" w:rsidP="00660194">
      <w:r w:rsidRPr="00660194">
        <w:rPr>
          <w:b/>
          <w:bCs/>
        </w:rPr>
        <w:t>Service Evaluation</w:t>
      </w:r>
      <w:r>
        <w:t xml:space="preserve">: </w:t>
      </w:r>
      <w:r w:rsidRPr="00660194">
        <w:rPr>
          <w:b/>
          <w:bCs/>
        </w:rPr>
        <w:t>$85.00</w:t>
      </w:r>
      <w:r w:rsidRPr="00660194">
        <w:t xml:space="preserve"> per hour</w:t>
      </w:r>
    </w:p>
    <w:p w14:paraId="037B91B4" w14:textId="77777777" w:rsidR="00660194" w:rsidRDefault="00660194" w:rsidP="00660194">
      <w:r w:rsidRPr="00660194">
        <w:t>Standard fee for the initial product assessment.</w:t>
      </w:r>
    </w:p>
    <w:p w14:paraId="62F2F68D" w14:textId="1FF08D5D" w:rsidR="00517831" w:rsidRPr="00660194" w:rsidRDefault="00517831" w:rsidP="00660194">
      <w:r w:rsidRPr="00517831">
        <w:rPr>
          <w:b/>
          <w:bCs/>
        </w:rPr>
        <w:t>Overtime Rates</w:t>
      </w:r>
      <w:r>
        <w:t xml:space="preserve">: </w:t>
      </w:r>
      <w:r w:rsidRPr="00517831">
        <w:t>1.5X the applicable hourly rate Applied to any service time that extends beyond normal working hours (before 7:30 am or after 4:00 pm, Monday through Friday) and all weekend hours.</w:t>
      </w:r>
      <w:r>
        <w:t xml:space="preserve"> Holidays </w:t>
      </w:r>
      <w:r w:rsidR="00513F5E">
        <w:t>s</w:t>
      </w:r>
      <w:r>
        <w:t xml:space="preserve">ubject to </w:t>
      </w:r>
      <w:r w:rsidR="00513F5E">
        <w:t xml:space="preserve">2X rate of base price. </w:t>
      </w:r>
    </w:p>
    <w:p w14:paraId="369166E8" w14:textId="77777777" w:rsidR="00660194" w:rsidRPr="00660194" w:rsidRDefault="00660194" w:rsidP="00660194">
      <w:r w:rsidRPr="00660194">
        <w:pict w14:anchorId="6A0E7F6B">
          <v:rect id="_x0000_i1299" style="width:0;height:1.5pt" o:hralign="center" o:hrstd="t" o:hrnoshade="t" o:hr="t" fillcolor="gray" stroked="f"/>
        </w:pict>
      </w:r>
    </w:p>
    <w:p w14:paraId="032594D2" w14:textId="77777777" w:rsidR="00660194" w:rsidRPr="00660194" w:rsidRDefault="00660194" w:rsidP="00660194">
      <w:pPr>
        <w:rPr>
          <w:b/>
          <w:bCs/>
        </w:rPr>
      </w:pPr>
      <w:r w:rsidRPr="00660194">
        <w:rPr>
          <w:b/>
          <w:bCs/>
        </w:rPr>
        <w:t>Lab Audit &amp; Asset Management</w:t>
      </w:r>
    </w:p>
    <w:p w14:paraId="53CAFB27" w14:textId="77777777" w:rsidR="00660194" w:rsidRPr="00660194" w:rsidRDefault="00660194" w:rsidP="00660194">
      <w:r w:rsidRPr="00660194">
        <w:rPr>
          <w:b/>
          <w:bCs/>
        </w:rPr>
        <w:t>Rate: $185.00 per hour</w:t>
      </w:r>
    </w:p>
    <w:p w14:paraId="4BC3218C" w14:textId="5893A4D6" w:rsidR="00660194" w:rsidRPr="00660194" w:rsidRDefault="00660194" w:rsidP="003D4483">
      <w:r w:rsidRPr="00660194">
        <w:t>Standard Meter Lab., Inc. provides specialized asset tracking and inventory management as part of our comprehensive audit services to ensure full transparency and organizational compliance.</w:t>
      </w:r>
      <w:r w:rsidR="003D4483">
        <w:t xml:space="preserve"> </w:t>
      </w:r>
      <w:r w:rsidRPr="00660194">
        <w:rPr>
          <w:b/>
          <w:bCs/>
        </w:rPr>
        <w:t>Equipment Itemization:</w:t>
      </w:r>
      <w:r w:rsidRPr="00660194">
        <w:t xml:space="preserve"> Every audit includes a complete itemized list of assets, categorized by specific model number and serial number for precise </w:t>
      </w:r>
      <w:r w:rsidR="003D4483" w:rsidRPr="00660194">
        <w:t>tracking.</w:t>
      </w:r>
      <w:r w:rsidR="003D4483" w:rsidRPr="00660194">
        <w:rPr>
          <w:b/>
          <w:bCs/>
        </w:rPr>
        <w:t xml:space="preserve"> Inventory</w:t>
      </w:r>
      <w:r w:rsidRPr="00660194">
        <w:rPr>
          <w:b/>
          <w:bCs/>
        </w:rPr>
        <w:t xml:space="preserve"> Allocation:</w:t>
      </w:r>
      <w:r w:rsidRPr="00660194">
        <w:t xml:space="preserve"> Inventory tracking is conducted at the unit and equipment level. We provide detailed inventory allocation based on:</w:t>
      </w:r>
    </w:p>
    <w:p w14:paraId="7982F4AB" w14:textId="77777777" w:rsidR="00891F93" w:rsidRDefault="00660194" w:rsidP="003D4483">
      <w:pPr>
        <w:pStyle w:val="ListParagraph"/>
        <w:numPr>
          <w:ilvl w:val="0"/>
          <w:numId w:val="15"/>
        </w:numPr>
      </w:pPr>
      <w:r w:rsidRPr="003D4483">
        <w:rPr>
          <w:b/>
          <w:bCs/>
        </w:rPr>
        <w:t>Physical Location:</w:t>
      </w:r>
      <w:r w:rsidRPr="00660194">
        <w:t xml:space="preserve"> Assets tracked by specific site or facility placement.</w:t>
      </w:r>
    </w:p>
    <w:p w14:paraId="24C3C57D" w14:textId="265DDA0D" w:rsidR="00660194" w:rsidRPr="00660194" w:rsidRDefault="00660194" w:rsidP="003D4483">
      <w:pPr>
        <w:pStyle w:val="ListParagraph"/>
        <w:numPr>
          <w:ilvl w:val="0"/>
          <w:numId w:val="15"/>
        </w:numPr>
      </w:pPr>
      <w:r w:rsidRPr="003D4483">
        <w:rPr>
          <w:b/>
          <w:bCs/>
        </w:rPr>
        <w:t>Departmental Allocation:</w:t>
      </w:r>
      <w:r w:rsidRPr="00660194">
        <w:t xml:space="preserve"> Upon request, equipment inventory can be further itemized and allocated by internal department or cost center.</w:t>
      </w:r>
    </w:p>
    <w:p w14:paraId="057C1026" w14:textId="77777777" w:rsidR="00660194" w:rsidRPr="00660194" w:rsidRDefault="00660194" w:rsidP="009F5951">
      <w:r w:rsidRPr="00660194">
        <w:pict w14:anchorId="493B18AB">
          <v:rect id="_x0000_i1300" style="width:0;height:1.5pt" o:hralign="center" o:hrstd="t" o:hrnoshade="t" o:hr="t" fillcolor="gray" stroked="f"/>
        </w:pict>
      </w:r>
    </w:p>
    <w:p w14:paraId="03843D14" w14:textId="03E81B98" w:rsidR="00660194" w:rsidRPr="00660194" w:rsidRDefault="00660194" w:rsidP="00660194">
      <w:pPr>
        <w:rPr>
          <w:b/>
          <w:bCs/>
        </w:rPr>
      </w:pPr>
      <w:r w:rsidRPr="00660194">
        <w:rPr>
          <w:b/>
          <w:bCs/>
        </w:rPr>
        <w:t>Expedited Service Options</w:t>
      </w:r>
    </w:p>
    <w:p w14:paraId="294B8F09" w14:textId="6CA321D0" w:rsidR="00660194" w:rsidRPr="00660194" w:rsidRDefault="00660194" w:rsidP="00660194">
      <w:r w:rsidRPr="00660194">
        <w:rPr>
          <w:b/>
          <w:bCs/>
          <w:color w:val="C00000"/>
        </w:rPr>
        <w:t xml:space="preserve">24-Hour </w:t>
      </w:r>
      <w:r w:rsidRPr="00660194">
        <w:rPr>
          <w:b/>
          <w:bCs/>
        </w:rPr>
        <w:t>Rush</w:t>
      </w:r>
      <w:r>
        <w:t xml:space="preserve">: </w:t>
      </w:r>
      <w:r w:rsidRPr="00660194">
        <w:t>Double the applicable hourly rate</w:t>
      </w:r>
    </w:p>
    <w:p w14:paraId="6F0B5BDB" w14:textId="2A7C4EDB" w:rsidR="00660194" w:rsidRPr="00660194" w:rsidRDefault="00660194" w:rsidP="00660194">
      <w:r w:rsidRPr="00660194">
        <w:rPr>
          <w:b/>
          <w:bCs/>
          <w:color w:val="C00000"/>
        </w:rPr>
        <w:t xml:space="preserve">72-Hour </w:t>
      </w:r>
      <w:r w:rsidRPr="00660194">
        <w:rPr>
          <w:b/>
          <w:bCs/>
        </w:rPr>
        <w:t>Rush</w:t>
      </w:r>
      <w:r>
        <w:t xml:space="preserve">: </w:t>
      </w:r>
      <w:r w:rsidRPr="00660194">
        <w:t>Base rate plus 75% surcharge</w:t>
      </w:r>
    </w:p>
    <w:p w14:paraId="21CFCF3B" w14:textId="77777777" w:rsidR="00660194" w:rsidRPr="00660194" w:rsidRDefault="00660194" w:rsidP="00660194">
      <w:r w:rsidRPr="00660194">
        <w:rPr>
          <w:i/>
          <w:iCs/>
        </w:rPr>
        <w:t>Note: Expedited services are subject to technician availability and parts procurement.</w:t>
      </w:r>
    </w:p>
    <w:p w14:paraId="3C4DC8D9" w14:textId="77777777" w:rsidR="00660194" w:rsidRPr="00660194" w:rsidRDefault="00660194" w:rsidP="00660194">
      <w:r w:rsidRPr="00660194">
        <w:pict w14:anchorId="7B2E2811">
          <v:rect id="_x0000_i1301" style="width:0;height:1.5pt" o:hralign="center" o:hrstd="t" o:hrnoshade="t" o:hr="t" fillcolor="gray" stroked="f"/>
        </w:pict>
      </w:r>
    </w:p>
    <w:p w14:paraId="0F1F1270" w14:textId="77777777" w:rsidR="00660194" w:rsidRPr="00660194" w:rsidRDefault="00660194" w:rsidP="00660194">
      <w:pPr>
        <w:rPr>
          <w:b/>
          <w:bCs/>
        </w:rPr>
      </w:pPr>
      <w:r w:rsidRPr="00660194">
        <w:rPr>
          <w:b/>
          <w:bCs/>
        </w:rPr>
        <w:t>Mandatory Fees &amp; Billing Policies</w:t>
      </w:r>
    </w:p>
    <w:p w14:paraId="361311DA" w14:textId="77777777" w:rsidR="00660194" w:rsidRPr="00660194" w:rsidRDefault="00660194" w:rsidP="00660194">
      <w:r w:rsidRPr="00660194">
        <w:rPr>
          <w:b/>
          <w:bCs/>
        </w:rPr>
        <w:t>Minimum Billing &amp; Cancellation</w:t>
      </w:r>
    </w:p>
    <w:p w14:paraId="14A0B6C2" w14:textId="77777777" w:rsidR="00660194" w:rsidRPr="00660194" w:rsidRDefault="00660194" w:rsidP="00C34FC3">
      <w:r w:rsidRPr="00660194">
        <w:rPr>
          <w:b/>
          <w:bCs/>
        </w:rPr>
        <w:t>Mandatory Minimum Charge:</w:t>
      </w:r>
      <w:r w:rsidRPr="00660194">
        <w:t xml:space="preserve"> A </w:t>
      </w:r>
      <w:r w:rsidRPr="00660194">
        <w:rPr>
          <w:b/>
          <w:bCs/>
        </w:rPr>
        <w:t>$85.00 charge</w:t>
      </w:r>
      <w:r w:rsidRPr="00660194">
        <w:t xml:space="preserve"> is the mandatory minimum for all service orders.</w:t>
      </w:r>
    </w:p>
    <w:p w14:paraId="748FECCA" w14:textId="77777777" w:rsidR="00660194" w:rsidRPr="00660194" w:rsidRDefault="00660194" w:rsidP="00C34FC3">
      <w:r w:rsidRPr="00660194">
        <w:rPr>
          <w:b/>
          <w:bCs/>
        </w:rPr>
        <w:t>Cancellations &amp; Non-Service:</w:t>
      </w:r>
      <w:r w:rsidRPr="00660194">
        <w:t xml:space="preserve"> This </w:t>
      </w:r>
      <w:r w:rsidRPr="00660194">
        <w:rPr>
          <w:b/>
          <w:bCs/>
        </w:rPr>
        <w:t xml:space="preserve">$85.00 </w:t>
      </w:r>
      <w:r w:rsidRPr="00660194">
        <w:t xml:space="preserve">fee applies </w:t>
      </w:r>
      <w:proofErr w:type="gramStart"/>
      <w:r w:rsidRPr="00660194">
        <w:t>in the event that</w:t>
      </w:r>
      <w:proofErr w:type="gramEnd"/>
      <w:r w:rsidRPr="00660194">
        <w:t xml:space="preserve"> service is canceled prior to work commencing, or if it is determined that repairs/calibrations will not be conducted after the unit has been received.</w:t>
      </w:r>
    </w:p>
    <w:p w14:paraId="507C0A0D" w14:textId="208CA719" w:rsidR="00660194" w:rsidRPr="00660194" w:rsidRDefault="00660194" w:rsidP="00C34FC3">
      <w:r w:rsidRPr="00660194">
        <w:rPr>
          <w:b/>
          <w:bCs/>
        </w:rPr>
        <w:t>Field Service Minimum:</w:t>
      </w:r>
      <w:r w:rsidRPr="00660194">
        <w:t xml:space="preserve"> All on-site calls are subject to a </w:t>
      </w:r>
      <w:r>
        <w:rPr>
          <w:b/>
          <w:bCs/>
        </w:rPr>
        <w:t>4</w:t>
      </w:r>
      <w:r w:rsidRPr="00660194">
        <w:rPr>
          <w:b/>
          <w:bCs/>
        </w:rPr>
        <w:t>-hour</w:t>
      </w:r>
      <w:r w:rsidRPr="00660194">
        <w:t xml:space="preserve"> minimum charge plus travel.</w:t>
      </w:r>
    </w:p>
    <w:p w14:paraId="419A7A8D" w14:textId="77777777" w:rsidR="00660194" w:rsidRPr="00660194" w:rsidRDefault="00660194" w:rsidP="00660194">
      <w:r w:rsidRPr="00660194">
        <w:rPr>
          <w:b/>
          <w:bCs/>
        </w:rPr>
        <w:t>Payment Processing</w:t>
      </w:r>
    </w:p>
    <w:p w14:paraId="5E5C474A" w14:textId="77777777" w:rsidR="00660194" w:rsidRPr="00660194" w:rsidRDefault="00660194" w:rsidP="00C34FC3">
      <w:r w:rsidRPr="00660194">
        <w:rPr>
          <w:b/>
          <w:bCs/>
        </w:rPr>
        <w:t>Credit Card Surcharge:</w:t>
      </w:r>
      <w:r w:rsidRPr="00660194">
        <w:t xml:space="preserve"> All payments made via credit card are subject to a </w:t>
      </w:r>
      <w:r w:rsidRPr="00660194">
        <w:rPr>
          <w:b/>
          <w:bCs/>
        </w:rPr>
        <w:t>3% processing fee</w:t>
      </w:r>
      <w:r w:rsidRPr="00660194">
        <w:t>.</w:t>
      </w:r>
    </w:p>
    <w:p w14:paraId="1527DA72" w14:textId="77777777" w:rsidR="00660194" w:rsidRPr="00660194" w:rsidRDefault="00660194" w:rsidP="00660194">
      <w:r w:rsidRPr="00660194">
        <w:rPr>
          <w:b/>
          <w:bCs/>
        </w:rPr>
        <w:t>Travel &amp; Logistics</w:t>
      </w:r>
    </w:p>
    <w:p w14:paraId="34F404DB" w14:textId="77777777" w:rsidR="00660194" w:rsidRPr="00660194" w:rsidRDefault="00660194" w:rsidP="00C34FC3">
      <w:r w:rsidRPr="00660194">
        <w:rPr>
          <w:b/>
          <w:bCs/>
        </w:rPr>
        <w:t>Standard Mileage:</w:t>
      </w:r>
      <w:r w:rsidRPr="00660194">
        <w:t xml:space="preserve"> </w:t>
      </w:r>
      <w:r w:rsidRPr="00660194">
        <w:rPr>
          <w:b/>
          <w:bCs/>
        </w:rPr>
        <w:t>$1.10</w:t>
      </w:r>
      <w:r w:rsidRPr="00660194">
        <w:t xml:space="preserve"> per mile</w:t>
      </w:r>
    </w:p>
    <w:p w14:paraId="106B1D4E" w14:textId="77777777" w:rsidR="00660194" w:rsidRDefault="00660194" w:rsidP="00C34FC3">
      <w:r w:rsidRPr="00660194">
        <w:rPr>
          <w:b/>
          <w:bCs/>
        </w:rPr>
        <w:t>Commercial Travel:</w:t>
      </w:r>
      <w:r w:rsidRPr="00660194">
        <w:t xml:space="preserve"> Airfare, lodging, and related expenses are billed at actual cost plus a </w:t>
      </w:r>
      <w:r w:rsidRPr="00660194">
        <w:rPr>
          <w:b/>
          <w:bCs/>
        </w:rPr>
        <w:t>15%</w:t>
      </w:r>
      <w:r w:rsidRPr="00660194">
        <w:t xml:space="preserve"> processing fee.</w:t>
      </w:r>
    </w:p>
    <w:p w14:paraId="24F09C88" w14:textId="77777777" w:rsidR="003D4483" w:rsidRDefault="003D4483" w:rsidP="003D4483">
      <w:pPr>
        <w:ind w:left="720"/>
      </w:pPr>
    </w:p>
    <w:p w14:paraId="7C0EFFEA" w14:textId="77777777" w:rsidR="009F5951" w:rsidRDefault="009F5951" w:rsidP="003D4483">
      <w:pPr>
        <w:ind w:left="720"/>
      </w:pPr>
    </w:p>
    <w:p w14:paraId="556B77C8" w14:textId="77777777" w:rsidR="009F5951" w:rsidRDefault="009F5951" w:rsidP="003D4483">
      <w:pPr>
        <w:ind w:left="720"/>
      </w:pPr>
    </w:p>
    <w:p w14:paraId="0868980B" w14:textId="77777777" w:rsidR="009F5951" w:rsidRPr="00660194" w:rsidRDefault="009F5951" w:rsidP="003D4483">
      <w:pPr>
        <w:ind w:left="720"/>
      </w:pPr>
    </w:p>
    <w:p w14:paraId="07FBF8C8" w14:textId="48FA3972" w:rsidR="003D4483" w:rsidRDefault="00660194" w:rsidP="00660194">
      <w:r w:rsidRPr="00660194">
        <w:pict w14:anchorId="34C40D1C">
          <v:rect id="_x0000_i1302" style="width:0;height:1.5pt" o:hralign="center" o:hrstd="t" o:hrnoshade="t" o:hr="t" fillcolor="gray" stroked="f"/>
        </w:pict>
      </w:r>
    </w:p>
    <w:p w14:paraId="76DC5932" w14:textId="77777777" w:rsidR="009F5951" w:rsidRPr="009F5951" w:rsidRDefault="009F5951" w:rsidP="00660194"/>
    <w:p w14:paraId="2B84ED06" w14:textId="3BC82338" w:rsidR="00660194" w:rsidRPr="00660194" w:rsidRDefault="00660194" w:rsidP="00660194">
      <w:pPr>
        <w:rPr>
          <w:b/>
          <w:bCs/>
        </w:rPr>
      </w:pPr>
      <w:r w:rsidRPr="00660194">
        <w:rPr>
          <w:b/>
          <w:bCs/>
        </w:rPr>
        <w:t>California Consumer Disclosures</w:t>
      </w:r>
    </w:p>
    <w:p w14:paraId="2585C2FE" w14:textId="77777777" w:rsidR="00660194" w:rsidRPr="00660194" w:rsidRDefault="00660194" w:rsidP="00660194">
      <w:r w:rsidRPr="00660194">
        <w:rPr>
          <w:i/>
          <w:iCs/>
        </w:rPr>
        <w:t>In compliance with California Business and Professions Code:</w:t>
      </w:r>
    </w:p>
    <w:p w14:paraId="17964C83" w14:textId="77777777" w:rsidR="00660194" w:rsidRPr="00660194" w:rsidRDefault="00660194" w:rsidP="00660194">
      <w:r w:rsidRPr="00660194">
        <w:rPr>
          <w:b/>
          <w:bCs/>
        </w:rPr>
        <w:t>Written Estimates</w:t>
      </w:r>
    </w:p>
    <w:p w14:paraId="7C0206F1" w14:textId="77777777" w:rsidR="00660194" w:rsidRPr="00660194" w:rsidRDefault="00660194" w:rsidP="00660194">
      <w:r w:rsidRPr="00660194">
        <w:t xml:space="preserve">A written estimate for the cost of repair will be provided to the customer. No charges for work or parts </w:t>
      </w:r>
      <w:proofErr w:type="gramStart"/>
      <w:r w:rsidRPr="00660194">
        <w:t>in excess of</w:t>
      </w:r>
      <w:proofErr w:type="gramEnd"/>
      <w:r w:rsidRPr="00660194">
        <w:t xml:space="preserve"> the estimate will be billed without prior oral or written consent.</w:t>
      </w:r>
    </w:p>
    <w:p w14:paraId="74D14515" w14:textId="77777777" w:rsidR="00660194" w:rsidRPr="00660194" w:rsidRDefault="00660194" w:rsidP="00660194">
      <w:r w:rsidRPr="00660194">
        <w:rPr>
          <w:b/>
          <w:bCs/>
        </w:rPr>
        <w:t>Teardown and Evaluation</w:t>
      </w:r>
    </w:p>
    <w:p w14:paraId="1B542873" w14:textId="77777777" w:rsidR="00660194" w:rsidRPr="00660194" w:rsidRDefault="00660194" w:rsidP="00660194">
      <w:r w:rsidRPr="00660194">
        <w:t>The Service Evaluation fee covers the cost of teardown and inspection. If a technician discovers extensive damage not visible during the initial inspection, work will cease, and a revised quote will be submitted for approval or cancellation.</w:t>
      </w:r>
    </w:p>
    <w:p w14:paraId="06A073F6" w14:textId="77777777" w:rsidR="00660194" w:rsidRPr="00660194" w:rsidRDefault="00660194" w:rsidP="00660194">
      <w:r w:rsidRPr="00660194">
        <w:rPr>
          <w:b/>
          <w:bCs/>
        </w:rPr>
        <w:t>Calibration Standards</w:t>
      </w:r>
    </w:p>
    <w:p w14:paraId="548D4FF9" w14:textId="77777777" w:rsidR="00660194" w:rsidRDefault="00660194" w:rsidP="00660194">
      <w:r w:rsidRPr="00660194">
        <w:t xml:space="preserve">Pricing is based on model </w:t>
      </w:r>
      <w:proofErr w:type="gramStart"/>
      <w:r w:rsidRPr="00660194">
        <w:t>number</w:t>
      </w:r>
      <w:proofErr w:type="gramEnd"/>
      <w:r w:rsidRPr="00660194">
        <w:t xml:space="preserve"> and processing requirements. Standard processing adheres to ANSI/NCSL-Z-540. ISO/IEC 17025 accredited calibrations or specific "As Found/As Left" data must be requested during the RFQ process and are billed at a premium.</w:t>
      </w:r>
    </w:p>
    <w:p w14:paraId="6151D0B3" w14:textId="77777777" w:rsidR="00C34FC3" w:rsidRPr="00660194" w:rsidRDefault="00C34FC3" w:rsidP="00660194"/>
    <w:p w14:paraId="4C41F8B8" w14:textId="77777777" w:rsidR="00660194" w:rsidRPr="00660194" w:rsidRDefault="00660194" w:rsidP="00660194">
      <w:pPr>
        <w:jc w:val="center"/>
        <w:rPr>
          <w:color w:val="C00000"/>
        </w:rPr>
      </w:pPr>
      <w:r w:rsidRPr="00660194">
        <w:rPr>
          <w:b/>
          <w:bCs/>
          <w:color w:val="C00000"/>
        </w:rPr>
        <w:t>All prices are subject to change without notice.</w:t>
      </w:r>
    </w:p>
    <w:p w14:paraId="638DF97A" w14:textId="6754A120" w:rsidR="00055D52" w:rsidRDefault="00596AD5">
      <w:r w:rsidRPr="00596AD5">
        <w:t xml:space="preserve"> </w:t>
      </w:r>
    </w:p>
    <w:sectPr w:rsidR="00055D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FD49" w14:textId="77777777" w:rsidR="0000068F" w:rsidRDefault="0000068F" w:rsidP="00660194">
      <w:pPr>
        <w:spacing w:after="0" w:line="240" w:lineRule="auto"/>
      </w:pPr>
      <w:r>
        <w:separator/>
      </w:r>
    </w:p>
  </w:endnote>
  <w:endnote w:type="continuationSeparator" w:id="0">
    <w:p w14:paraId="1F2AE355" w14:textId="77777777" w:rsidR="0000068F" w:rsidRDefault="0000068F" w:rsidP="006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481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F774C3" w14:textId="56E4A7F5" w:rsidR="00660194" w:rsidRDefault="006601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E287C6" w14:textId="77777777" w:rsidR="00660194" w:rsidRDefault="00660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694B" w14:textId="77777777" w:rsidR="0000068F" w:rsidRDefault="0000068F" w:rsidP="00660194">
      <w:pPr>
        <w:spacing w:after="0" w:line="240" w:lineRule="auto"/>
      </w:pPr>
      <w:r>
        <w:separator/>
      </w:r>
    </w:p>
  </w:footnote>
  <w:footnote w:type="continuationSeparator" w:id="0">
    <w:p w14:paraId="38F49085" w14:textId="77777777" w:rsidR="0000068F" w:rsidRDefault="0000068F" w:rsidP="006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6826" w14:textId="53726CD1" w:rsidR="00660194" w:rsidRDefault="00660194" w:rsidP="00660194">
    <w:pPr>
      <w:pStyle w:val="Header"/>
      <w:jc w:val="center"/>
    </w:pPr>
    <w:r>
      <w:rPr>
        <w:noProof/>
      </w:rPr>
      <w:drawing>
        <wp:inline distT="0" distB="0" distL="0" distR="0" wp14:anchorId="366FA0C5" wp14:editId="5702078A">
          <wp:extent cx="3352800" cy="776121"/>
          <wp:effectExtent l="0" t="0" r="0" b="5080"/>
          <wp:docPr id="10229184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761" cy="783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46D"/>
    <w:multiLevelType w:val="multilevel"/>
    <w:tmpl w:val="0B14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265B3"/>
    <w:multiLevelType w:val="multilevel"/>
    <w:tmpl w:val="83A8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C2D1D"/>
    <w:multiLevelType w:val="multilevel"/>
    <w:tmpl w:val="EEA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9482E"/>
    <w:multiLevelType w:val="multilevel"/>
    <w:tmpl w:val="B8F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03C1D"/>
    <w:multiLevelType w:val="multilevel"/>
    <w:tmpl w:val="B0F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044F7"/>
    <w:multiLevelType w:val="multilevel"/>
    <w:tmpl w:val="F40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A35C4"/>
    <w:multiLevelType w:val="multilevel"/>
    <w:tmpl w:val="DED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A1A37"/>
    <w:multiLevelType w:val="multilevel"/>
    <w:tmpl w:val="C50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22D8C"/>
    <w:multiLevelType w:val="multilevel"/>
    <w:tmpl w:val="26E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06507"/>
    <w:multiLevelType w:val="multilevel"/>
    <w:tmpl w:val="1DF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603B6"/>
    <w:multiLevelType w:val="multilevel"/>
    <w:tmpl w:val="2A8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970DB"/>
    <w:multiLevelType w:val="hybridMultilevel"/>
    <w:tmpl w:val="BC58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E70A1"/>
    <w:multiLevelType w:val="multilevel"/>
    <w:tmpl w:val="1F4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058F7"/>
    <w:multiLevelType w:val="multilevel"/>
    <w:tmpl w:val="829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215EF"/>
    <w:multiLevelType w:val="multilevel"/>
    <w:tmpl w:val="50D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470921">
    <w:abstractNumId w:val="6"/>
  </w:num>
  <w:num w:numId="2" w16cid:durableId="1534687736">
    <w:abstractNumId w:val="0"/>
  </w:num>
  <w:num w:numId="3" w16cid:durableId="59327253">
    <w:abstractNumId w:val="10"/>
  </w:num>
  <w:num w:numId="4" w16cid:durableId="1782842902">
    <w:abstractNumId w:val="1"/>
  </w:num>
  <w:num w:numId="5" w16cid:durableId="1111630986">
    <w:abstractNumId w:val="2"/>
  </w:num>
  <w:num w:numId="6" w16cid:durableId="2143381722">
    <w:abstractNumId w:val="12"/>
  </w:num>
  <w:num w:numId="7" w16cid:durableId="507526223">
    <w:abstractNumId w:val="7"/>
  </w:num>
  <w:num w:numId="8" w16cid:durableId="77603531">
    <w:abstractNumId w:val="9"/>
  </w:num>
  <w:num w:numId="9" w16cid:durableId="2057467432">
    <w:abstractNumId w:val="14"/>
  </w:num>
  <w:num w:numId="10" w16cid:durableId="1762289384">
    <w:abstractNumId w:val="4"/>
  </w:num>
  <w:num w:numId="11" w16cid:durableId="1473788488">
    <w:abstractNumId w:val="13"/>
  </w:num>
  <w:num w:numId="12" w16cid:durableId="782306509">
    <w:abstractNumId w:val="3"/>
  </w:num>
  <w:num w:numId="13" w16cid:durableId="688145223">
    <w:abstractNumId w:val="8"/>
  </w:num>
  <w:num w:numId="14" w16cid:durableId="1641956913">
    <w:abstractNumId w:val="5"/>
  </w:num>
  <w:num w:numId="15" w16cid:durableId="813257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D5"/>
    <w:rsid w:val="0000068F"/>
    <w:rsid w:val="00055D52"/>
    <w:rsid w:val="000707BF"/>
    <w:rsid w:val="000C487C"/>
    <w:rsid w:val="00150089"/>
    <w:rsid w:val="001A4FB5"/>
    <w:rsid w:val="00225EDC"/>
    <w:rsid w:val="003108EB"/>
    <w:rsid w:val="003D4483"/>
    <w:rsid w:val="00513F5E"/>
    <w:rsid w:val="00517831"/>
    <w:rsid w:val="00593BB9"/>
    <w:rsid w:val="00596AD5"/>
    <w:rsid w:val="00660194"/>
    <w:rsid w:val="00891F93"/>
    <w:rsid w:val="008C46F9"/>
    <w:rsid w:val="00980ECB"/>
    <w:rsid w:val="009B62BE"/>
    <w:rsid w:val="009C0233"/>
    <w:rsid w:val="009F5951"/>
    <w:rsid w:val="00C34FC3"/>
    <w:rsid w:val="00EF2378"/>
    <w:rsid w:val="00F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AD23A"/>
  <w15:chartTrackingRefBased/>
  <w15:docId w15:val="{7390FBA9-E497-4E52-BEF6-8B9A26D5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A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A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A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94"/>
  </w:style>
  <w:style w:type="paragraph" w:styleId="Footer">
    <w:name w:val="footer"/>
    <w:basedOn w:val="Normal"/>
    <w:link w:val="FooterChar"/>
    <w:uiPriority w:val="99"/>
    <w:unhideWhenUsed/>
    <w:rsid w:val="0066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59afb7aa9eb04774c0508bbfb552e955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2eaa1fdd03c333956db859c8b03d27ea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Props1.xml><?xml version="1.0" encoding="utf-8"?>
<ds:datastoreItem xmlns:ds="http://schemas.openxmlformats.org/officeDocument/2006/customXml" ds:itemID="{B4EF61DD-F67E-48B7-BE13-B9715CE0DB7E}"/>
</file>

<file path=customXml/itemProps2.xml><?xml version="1.0" encoding="utf-8"?>
<ds:datastoreItem xmlns:ds="http://schemas.openxmlformats.org/officeDocument/2006/customXml" ds:itemID="{D2893C69-C713-4C79-BE45-0C8A39D85BFC}"/>
</file>

<file path=customXml/itemProps3.xml><?xml version="1.0" encoding="utf-8"?>
<ds:datastoreItem xmlns:ds="http://schemas.openxmlformats.org/officeDocument/2006/customXml" ds:itemID="{ADF0672E-A076-45F4-8B2C-83AD0923C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Estrella</dc:creator>
  <cp:keywords/>
  <dc:description/>
  <cp:lastModifiedBy>Marcos Estrella</cp:lastModifiedBy>
  <cp:revision>14</cp:revision>
  <cp:lastPrinted>2026-04-14T17:57:00Z</cp:lastPrinted>
  <dcterms:created xsi:type="dcterms:W3CDTF">2026-04-14T17:26:00Z</dcterms:created>
  <dcterms:modified xsi:type="dcterms:W3CDTF">2026-04-14T18:26:00Z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</Properties>
</file>